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566CFC" w:rsidRDefault="005A6D49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25E67">
        <w:rPr>
          <w:rFonts w:ascii="Corbel" w:eastAsia="Corbel" w:hAnsi="Corbel" w:cs="Corbel"/>
          <w:b/>
          <w:bCs/>
          <w:smallCaps/>
          <w:sz w:val="24"/>
          <w:szCs w:val="24"/>
        </w:rPr>
        <w:t>2019-2024</w:t>
      </w: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2023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24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>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</w:t>
            </w:r>
            <w:r>
              <w:rPr>
                <w:rFonts w:ascii="Corbel" w:eastAsia="Corbel" w:hAnsi="Corbel" w:cs="Corbel"/>
                <w:sz w:val="24"/>
                <w:szCs w:val="24"/>
              </w:rPr>
              <w:t>u</w:t>
            </w:r>
            <w:r>
              <w:rPr>
                <w:rFonts w:ascii="Corbel" w:eastAsia="Corbel" w:hAnsi="Corbel" w:cs="Corbel"/>
                <w:sz w:val="24"/>
                <w:szCs w:val="24"/>
              </w:rPr>
              <w:t>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925E67" w:rsidP="00B02F23">
            <w:pPr>
              <w:pStyle w:val="Odpowiedzi"/>
              <w:spacing w:before="0" w:after="0"/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540F6E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1408EB" w:rsidP="00B02F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40F6E" w:rsidRPr="00540F6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Niestacjonarne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B02F23">
            <w:pPr>
              <w:pStyle w:val="Odpowiedzi"/>
              <w:spacing w:before="0" w:after="0"/>
              <w:rPr>
                <w:b w:val="0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566CFC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</w:t>
            </w:r>
            <w:r>
              <w:rPr>
                <w:rFonts w:ascii="Corbel" w:eastAsia="Corbel" w:hAnsi="Corbel" w:cs="Corbel"/>
                <w:sz w:val="24"/>
                <w:szCs w:val="24"/>
              </w:rPr>
              <w:t>o</w:t>
            </w:r>
            <w:r>
              <w:rPr>
                <w:rFonts w:ascii="Corbel" w:eastAsia="Corbel" w:hAnsi="Corbel" w:cs="Corbel"/>
                <w:sz w:val="24"/>
                <w:szCs w:val="24"/>
              </w:rPr>
              <w:t>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Ćwiczenia: zaliczenie na ocenę</w:t>
      </w: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Wykład: zaliczenie bez oceny/egzamin</w:t>
      </w:r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h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Odniesienie do efektów  ki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2D327E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ęc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nych, konstrukcyjnych, ruchowych, muzycznych, dyda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</w:t>
            </w:r>
            <w:r w:rsidR="002D327E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>sytu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>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</w:t>
            </w:r>
            <w:proofErr w:type="spellStart"/>
            <w:r w:rsidR="003C7680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D327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bookmarkStart w:id="0" w:name="_GoBack"/>
            <w:bookmarkEnd w:id="0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poz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y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Przegląd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Umiejętności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Umiejętności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lastRenderedPageBreak/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>i w grupach, dyskusje, praca ze słownikiem, nagraniami audio i wideo, korzystanie ze źródeł intern</w:t>
      </w:r>
      <w:r w:rsidRPr="00B66D6C">
        <w:rPr>
          <w:rFonts w:ascii="Corbel" w:hAnsi="Corbel"/>
          <w:b w:val="0"/>
          <w:smallCaps w:val="0"/>
        </w:rPr>
        <w:t>e</w:t>
      </w:r>
      <w:r w:rsidRPr="00B66D6C">
        <w:rPr>
          <w:rFonts w:ascii="Corbel" w:hAnsi="Corbel"/>
          <w:b w:val="0"/>
          <w:smallCaps w:val="0"/>
        </w:rPr>
        <w:t xml:space="preserve">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</w:t>
      </w:r>
      <w:r w:rsidRPr="00B66D6C">
        <w:rPr>
          <w:rFonts w:ascii="Corbel" w:hAnsi="Corbel"/>
          <w:b w:val="0"/>
          <w:smallCaps w:val="0"/>
        </w:rPr>
        <w:t>d</w:t>
      </w:r>
      <w:r w:rsidRPr="00B66D6C">
        <w:rPr>
          <w:rFonts w:ascii="Corbel" w:hAnsi="Corbel"/>
          <w:b w:val="0"/>
          <w:smallCaps w:val="0"/>
        </w:rPr>
        <w:t>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Forma zajęć dyda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  <w:proofErr w:type="spellEnd"/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Ćwiczenia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>: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>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B02F2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planu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566CFC" w:rsidRDefault="005A6D49" w:rsidP="004633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</w:t>
            </w:r>
            <w:r>
              <w:rPr>
                <w:rFonts w:ascii="Corbel" w:eastAsia="Corbel" w:hAnsi="Corbel" w:cs="Corbel"/>
                <w:sz w:val="24"/>
                <w:szCs w:val="24"/>
              </w:rPr>
              <w:t>i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nu, </w:t>
            </w:r>
            <w:r w:rsidR="0046339C">
              <w:rPr>
                <w:rFonts w:ascii="Corbel" w:eastAsia="Corbel" w:hAnsi="Corbel" w:cs="Corbel"/>
                <w:sz w:val="24"/>
                <w:szCs w:val="24"/>
              </w:rPr>
              <w:t xml:space="preserve">kolokwium, projektu, </w:t>
            </w:r>
            <w:r>
              <w:rPr>
                <w:rFonts w:ascii="Corbel" w:eastAsia="Corbel" w:hAnsi="Corbel" w:cs="Corbel"/>
                <w:sz w:val="24"/>
                <w:szCs w:val="24"/>
              </w:rPr>
              <w:t>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K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n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566CFC" w:rsidRPr="002D327E" w:rsidTr="001408EB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2F23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1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B02F23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Halliwell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, S. 1992.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k, T., Uberman, A. 2010.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l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ogy. A Course for Undergraduate Students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Techniques and Principles of Language Teac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h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ing.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B02F23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566CFC" w:rsidTr="001408EB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540F6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>Nunan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, D., Lamb, C. 1996.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BB2" w:rsidRDefault="008C7BB2">
      <w:pPr>
        <w:spacing w:after="0" w:line="240" w:lineRule="auto"/>
      </w:pPr>
      <w:r>
        <w:separator/>
      </w:r>
    </w:p>
  </w:endnote>
  <w:endnote w:type="continuationSeparator" w:id="0">
    <w:p w:rsidR="008C7BB2" w:rsidRDefault="008C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BB2" w:rsidRDefault="008C7BB2">
      <w:pPr>
        <w:spacing w:after="0" w:line="240" w:lineRule="auto"/>
      </w:pPr>
      <w:r>
        <w:separator/>
      </w:r>
    </w:p>
  </w:footnote>
  <w:footnote w:type="continuationSeparator" w:id="0">
    <w:p w:rsidR="008C7BB2" w:rsidRDefault="008C7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61589"/>
    <w:multiLevelType w:val="hybridMultilevel"/>
    <w:tmpl w:val="B628CFCC"/>
    <w:numStyleLink w:val="ImportedStyle1"/>
  </w:abstractNum>
  <w:abstractNum w:abstractNumId="3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6CFC"/>
    <w:rsid w:val="001408EB"/>
    <w:rsid w:val="002A3A9B"/>
    <w:rsid w:val="002D327E"/>
    <w:rsid w:val="003C7680"/>
    <w:rsid w:val="0046339C"/>
    <w:rsid w:val="004F24CF"/>
    <w:rsid w:val="00540F6E"/>
    <w:rsid w:val="00566CFC"/>
    <w:rsid w:val="005A6D49"/>
    <w:rsid w:val="005A762C"/>
    <w:rsid w:val="007F4462"/>
    <w:rsid w:val="008C7BB2"/>
    <w:rsid w:val="00925E67"/>
    <w:rsid w:val="00B02F23"/>
    <w:rsid w:val="00B05B0E"/>
    <w:rsid w:val="00CB407C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2019-10-29T17:45:00Z</dcterms:created>
  <dcterms:modified xsi:type="dcterms:W3CDTF">2021-01-21T11:52:00Z</dcterms:modified>
</cp:coreProperties>
</file>